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temeiul articolului 3 din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Procedura pentru desemnarea candidatului României pentru func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ția de judecător la Tribunalul Uniunii Europene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, aprobată de Guvernul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âniei, prin Memorandum, la data de 7 aprilie 2021, public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ăm prezentul</w:t>
      </w:r>
    </w:p>
    <w:p>
      <w:pPr>
        <w:spacing w:before="0" w:after="160" w:line="259"/>
        <w:ind w:right="0" w:left="0" w:firstLine="0"/>
        <w:jc w:val="center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ANUN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Ţ </w:t>
      </w:r>
    </w:p>
    <w:p>
      <w:pPr>
        <w:spacing w:before="0" w:after="160" w:line="259"/>
        <w:ind w:right="0" w:left="0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referitor la selec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ția candidatului Rom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âniei pentru func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ția de judecător la Tribunalul Uniunii Europene</w:t>
      </w:r>
    </w:p>
    <w:p>
      <w:pPr>
        <w:spacing w:before="0" w:after="160" w:line="259"/>
        <w:ind w:right="0" w:left="0" w:firstLine="0"/>
        <w:jc w:val="center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Unul dintre cele dou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posturi de judecător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 la Tribunalul Uniunii Europene se vacanteaz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începând cu data de 7 octombrie 2021. În acest context, România este invitat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să transmită o propunere pentru postul vacant de judecător p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la finalul lunii iunie 2021. Mandatul de judecător pentru care se va transmite propunerea rezultată din prezenta procedură de selecție va acoperi perioada 7 octombrie 2021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31 august 2022.</w:t>
      </w:r>
    </w:p>
    <w:p>
      <w:pPr>
        <w:tabs>
          <w:tab w:val="left" w:pos="0" w:leader="none"/>
        </w:tabs>
        <w:suppressAutoHyphens w:val="true"/>
        <w:spacing w:before="0" w:after="12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Condi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țiile și modalitatea de numire a judecătorilor la Tribunal sunt prevăzute de art. 254 și 255 din Tratatul privind Funcționarea Uniunii Europene (TFUE) și de prevederile corespunzătoare din Statutul Curții de Justiție a Uniunii Europene (CJUE).</w:t>
      </w:r>
    </w:p>
    <w:p>
      <w:pPr>
        <w:tabs>
          <w:tab w:val="left" w:pos="0" w:leader="none"/>
        </w:tabs>
        <w:suppressAutoHyphens w:val="true"/>
        <w:spacing w:before="0" w:after="12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Potrivit art. 254 TFUE, membrii Tribunalului sunt ale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și dintre persoane care oferă depline garanții de independență și care au capacitatea cerută pentru exercitarea unor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înalte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 jurisdicționale. Aceștia sunt numiți de comun acord de către guvernele statelor membre, pentru o perioadă de șase ani, după consultarea comitetului prevăzut la art. 255 TFUE.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Potrivit art. 4 din Titlul I al Protocolului nr. 3 privind Statutul CJUE, judec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ătorii nu pot exercita nicio funcție politică sau administrativă. Aceștia nu pot exercita nicio activitate profesională, fie că este sau nu remunerată,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afara cazului în care Consiliul, hot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ând cu majoritate simpl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ă, acordă o derogare cu titlu excepțional. La instalarea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ție, judecătorii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și iau angajamentul solemn de a respecta, pe durata funcției lor și după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încetarea acesteia, obliga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țiile care decurg din această funcție,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special îndatoririle de a da dovad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de onestitate și de discreție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acceptarea anumitor pozi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 sau avantaje, după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încetarea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ției lor.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La data de 7 aprilie 2021 a fost aprobat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de către Guvernul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âniei, prin memorandum,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Procedura pentru desemnarea candidatului României pentru func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ția de judecător la Tribunalul Uniunii Europene (denumită,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în continuare, Procedura).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Persoanele interesate î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și pot depune candidatura p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ân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ă la data de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16 mai 2021, exclusiv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în format electronic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, la adresa de email: </w:t>
      </w:r>
      <w:hyperlink xmlns:r="http://schemas.openxmlformats.org/officeDocument/2006/relationships" r:id="docRId0">
        <w:r>
          <w:rPr>
            <w:rFonts w:ascii="Trebuchet MS" w:hAnsi="Trebuchet MS" w:cs="Trebuchet MS" w:eastAsia="Trebuchet MS"/>
            <w:b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selectie.tue@just.ro</w:t>
        </w:r>
      </w:hyperlink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, pân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ă la ora 24:00.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Dosarul de candidatur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trebuie să ateste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îndeplinirea condi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țiilor prevăzute la art. 4 din Procedură și să conțină: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un curriculum vitae;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copii ale diplomelor privind absolvirea cursurilor de licen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ță sau echivalente, cu profil juridic, la o universitate din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ânia sau din alte state membre UE ori în state ter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ţe, recunoscute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România sau în alte state membre UE;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copii ale altor diplome atestând cursurile absolvite sau titlurile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științifice;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documente care s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ateste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îndeplinirea condi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țiilor pentru ocuparea unor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înalte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 jurisdicționale (decizii de definitivare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într-o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ție juridică/condiții de vechime echivalente, documente privind gradele universitare, indicele Hirsch sau alte standarde similare);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copii ale documentelor ce atest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cunoștințele de limbă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oficială UE, alta dec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ât limba român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cazul în care candida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 posedă asemenea documente;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 declara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ție pe proprie răspundere din care să rezulte lipsa antecedentelor penale, a altor cauze care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îl împiedic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să exercite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mod efectiv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ția de judecător la Tribunal, precum și, după caz, faptul că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îndepline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ște condițiile prevăzute de art. 6 și art. 7 din Legea nr. 303/2004 privind statutul judecătorilor și procurorilor (nu a fost agent sau colaborator al organelor de securitate ca poliție politică și nu este lucrător operativ, inclusiv acoperit, informator sau colaborator al serviciilor de informații);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orice alte documente care atest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îndeplinirea condi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țiilor de eligibilitate.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Dosarele depuse vor fi analizate de Comisia de selec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ție,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conformitate cu art. 5, alin. (1) din Procedur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ă, iar rezultatele verificării și informațiile privind data, ora și locul organizării sesiunii de audiere vor fi publicate pe site-urile Ministerului Justiţiei, Ministerului Afacerilor Externe, Consiliului Superior al Magistraturii,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Înaltei Cur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ţi de Casaţie şi Justiţie și Uniunii Naționale a Barourilor din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ânia.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Candida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ții ale căror dosare au fost selectate vor fi notificați individual,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vederea sus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ținerii unui interviu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fa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ța Comisiei de selecție, prezidate de ministrul justiției. Interviul va fi organizat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perioada 7-10 iunie 2021, la sediul Ministerului Justi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ției sau prin mijloace de comunicare la distanță.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Interviul va avea loc în limba român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îns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vor fi adresate și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întreb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ări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limba francez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ă/engleză. Candidații pot răspunde la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întreb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ările respective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limba francez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ă/engleză.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Cunoa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șterea oricăror alte limbi oficiale ale UE poate constitui un avantaj. 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Evaluarea candida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ților se realizează, potrivit art. 5, alin. (4) din Procedură,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ţie de următoarele criterii: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calificarea juridic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a candidatului şi cunoaşterea dreptului şi instituţiilor UE; 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experien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ţa profesională, inclusiv notorietatea ştiinţifică, dacă este cazul;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c)</w:t>
        <w:tab/>
        <w:t xml:space="preserve">capacitatea de a exercita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ţii judiciare;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d)</w:t>
        <w:tab/>
        <w:t xml:space="preserve">competen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ţele lingvistice;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e)</w:t>
        <w:tab/>
        <w:t xml:space="preserve">capacitatea de a lucra într-un mediu multicultural, care reflect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 diferite sisteme juridice;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f)</w:t>
        <w:tab/>
        <w:t xml:space="preserve">lipsa oric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ărei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îndoieli cu privire la independen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ţa, imparţialitatea, probitatea și integritatea candidatului.</w:t>
      </w:r>
    </w:p>
    <w:p>
      <w:pPr>
        <w:tabs>
          <w:tab w:val="left" w:pos="426" w:leader="none"/>
        </w:tabs>
        <w:suppressAutoHyphens w:val="true"/>
        <w:spacing w:before="0" w:after="12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La finalizarea audierilor, conform art. 6 din Procedur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ă, Comisia selectează candidatul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âniei pentru ocuparea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ţiei de judecător al Tribunalului Uniunii Europene, precum şi două propuneri de rezervă, cu votul majorităţii simple a membrilor Comisiei. Rezultatele procedurii de selecţie sunt publicate pe site-urile Ministerului Justiţiei, Ministerului Afacerilor Externe, Consiliului Superior al Magistraturii,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Înaltei Cur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ţi de Casaţie şi Justiţie şi Uniunii Naţionale a Barourilor din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ânia.</w:t>
      </w:r>
    </w:p>
    <w:p>
      <w:pPr>
        <w:tabs>
          <w:tab w:val="left" w:pos="426" w:leader="none"/>
        </w:tabs>
        <w:suppressAutoHyphens w:val="true"/>
        <w:spacing w:before="0" w:after="12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Propunerile finale, înso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țite de dosarele de candidatură, sunt comunicate Guvernului, spre aprobare.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Guvernul va transmite Consiliului UE numele candidatului României pentru func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ția de judecător al Tribunalului Uniunii Europene. Judecătorul rom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ân va fi numit de comun acord de c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ătre guvernele statelor membre UE, după consultarea Comitetului prevăzut la art. 255 TFUE.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Anexa: Procedura pentru desemnarea candidatului României pentru func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ția de judecător la Tribunalul Uniunii Europene. </w:t>
      </w: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PROCEDUR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Ă 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pentru desemnarea candidatului României 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pentru func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ţia de judecător la Tribunalul Uniunii Europene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Art.1 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(1) Desemnarea candidatului României pentru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ţia de judecător al Tribunalului Uniunii Europene se face de către Guvern, la propunerea Comisiei de selecție.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(2) Comisia de selec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ție este formată din: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a) ministrul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ției;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b) ministrul afacerilor externe;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c) agentul guvernamental pentru Curtea de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ţie a Uniunii Europene;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d) directorul Direc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ţiei afaceri europene şi drepturile omului din cadrul Ministerului Justiţiei;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e) un membru al Consiliului Superior al Magistraturii, desemnat de Plenul acestuia la invita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ţia ministrului justiţiei;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f) doi judec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ători de 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Înalta Curte de Casa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ţie şi Justiţie, desemnați de Colegiul de conducere al acesteia, la invitaţia ministrului justiţiei;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g) dou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ă cadre didactice universitare de la facultăţile de drept din cadrul universităţilor de cercetare avansată şi educaţie, astfel cum acestea sunt clasificate potrivit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art. 193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alin. (4) lit. c) din Legea educa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ţiei naţionale                       nr. 1/2011, cu modificările şi completările ulterioare, la invitaţia ministrului justiţiei.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i) doi decani ai Barourilor din cadrul Uniunii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ționale a Barourilor din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ânia, desemna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ți de Comisia permanentă a UNBR, la invitația ministrului justiției.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(3) În situa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ția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în care un membru al Comisiei nu poate asigura prezen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ța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în cadrul Comisiei, din motive obiective, inclusiv în cazul unor deplas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ări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în interes de serviciu, respectivul membru poate desemna un supleant.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2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(1) Comisia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ăzută la art. 1 este convocată de ministrul justiţiei, care prezidează lucrările acesteia.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(2) Pentru procedurile de audiere, deliberare, selec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ție a candidaților, Comisia este valabil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întrunit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prezen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ța tuturor membrilor. Pentru toate celelalte activități, Comisia este valabil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întrunit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prezen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ța a cel puțin 7 membri.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(3) Toate deciziile în cadrul Comisiei se iau în procedur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scrisă, prin vot cu majoritatea simplă a membrilor.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(4) Membrii Comisiei 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 exercită mandatul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mod individual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 independent 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 exprimă propria opinie. Fiecare membru al Comisiei are un vot pe care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îl va exercita pentru adoptarea deciziilor.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(5) Comisia 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și desfășoară activitatea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prezen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ță fizică sau prin intermediul sistemului de videoconferință, după caz.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(6) Secretariatul Comisiei este asigurat de Ministerul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ţiei.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3 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(1) Comisia adopt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anunţul referitor la selecţia candidaţilor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numele României pentru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ţia de judecător al Tribunalului Uniunii Europene.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(2) Secretariatul Comisiei de selec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ţie transmite anunțul pentru publicare pe             site-urile Ministerului Justiţiei, Ministerului Afacerilor Externe, Consiliului Superior al Magistraturii,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Înaltei Cur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 de Casaţie şi Justiţie, Uniunii Naționale a Barourilor din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ânia, precum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și către toate Curțile de Apel și Barourile din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ânia.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(3) În anun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 sunt indicate cerinţele prevăzute pentru ocuparea funcţiei de judecător al Tribunalului Uniunii Europene potrivit Tratatului privind Funcţionarea Uniunii Europene, documentaţia ce trebuie prezentată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dosarul de candidatur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ă, perioada şi locul desfăşurării selecţiei candidaţilor şi termenul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la care pot fi depuse candidaturile. Dosarele vor fi depuse exclusiv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format electronic.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4 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Candida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ţii vor fi desemnaţi dintre personalităţile care oferă depline garanții de independență și care au capacitatea cerută pentru exercitarea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România a unor înalte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ții jurisdicționale,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conformitate cu art. 254 din Tratatul privind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ționarea Uniunii Europene.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5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(1) În termen de maximum 5 zile calendaristice de la expirarea termenului pentru depunerea candidaturilor, comisia verific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îndeplinirea condi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ţiilor menţionate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anun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ţul prevăzut la articolul 3, alin. (1) şi publică pe site-urile Ministerului Justiţiei, Ministerului Afacerilor Externe, Consiliului Superior al Magistraturii,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Înaltei Cur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 de Casaţie şi Justiţie, Uniunii Naționale a Barourilor din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ânia rezultatele verific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ării şi informaţiile privind data, ora şi locul organizării sesiunii de audiere a candidaţilor.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(2) În termen de 10 zile lucr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ătoare de la publicarea rezultatelor finale ale verificării prealabile, comisia organizează audierea candidaţilor selectați. Interviul va fi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înregistrat. Audierea poate fi organizat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inclusiv prin mijloace de comunicare la distanță.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(3) Timpul alocat pentru audierea fiec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ărui candidat este de minimum 15 minute și de maximum o oră.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(4) Criteriile 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ţie de care se va realiza evaluarea candidaţilor sunt:</w:t>
      </w:r>
    </w:p>
    <w:p>
      <w:pPr>
        <w:numPr>
          <w:ilvl w:val="0"/>
          <w:numId w:val="16"/>
        </w:numPr>
        <w:tabs>
          <w:tab w:val="left" w:pos="720" w:leader="none"/>
        </w:tabs>
        <w:suppressAutoHyphens w:val="true"/>
        <w:spacing w:before="0" w:after="12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calificarea juridic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a candidatului şi cunoaşterea dreptului şi instituţiilor UE; </w:t>
      </w:r>
    </w:p>
    <w:p>
      <w:pPr>
        <w:numPr>
          <w:ilvl w:val="0"/>
          <w:numId w:val="16"/>
        </w:numPr>
        <w:tabs>
          <w:tab w:val="left" w:pos="720" w:leader="none"/>
        </w:tabs>
        <w:suppressAutoHyphens w:val="true"/>
        <w:spacing w:before="0" w:after="12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experien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ţa profesională;</w:t>
      </w:r>
    </w:p>
    <w:p>
      <w:pPr>
        <w:numPr>
          <w:ilvl w:val="0"/>
          <w:numId w:val="16"/>
        </w:numPr>
        <w:tabs>
          <w:tab w:val="left" w:pos="720" w:leader="none"/>
        </w:tabs>
        <w:suppressAutoHyphens w:val="true"/>
        <w:spacing w:before="0" w:after="12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capacitatea de a exercita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ţii judiciare;</w:t>
      </w:r>
    </w:p>
    <w:p>
      <w:pPr>
        <w:numPr>
          <w:ilvl w:val="0"/>
          <w:numId w:val="16"/>
        </w:numPr>
        <w:tabs>
          <w:tab w:val="left" w:pos="720" w:leader="none"/>
        </w:tabs>
        <w:suppressAutoHyphens w:val="true"/>
        <w:spacing w:before="0" w:after="12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competen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ţele lingvistice;</w:t>
      </w:r>
    </w:p>
    <w:p>
      <w:pPr>
        <w:numPr>
          <w:ilvl w:val="0"/>
          <w:numId w:val="16"/>
        </w:numPr>
        <w:tabs>
          <w:tab w:val="left" w:pos="720" w:leader="none"/>
        </w:tabs>
        <w:suppressAutoHyphens w:val="true"/>
        <w:spacing w:before="0" w:after="12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capacitatea de a lucra într-un mediu multicultural, care reflect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diferite sisteme juridice;</w:t>
      </w:r>
    </w:p>
    <w:p>
      <w:pPr>
        <w:numPr>
          <w:ilvl w:val="0"/>
          <w:numId w:val="16"/>
        </w:numPr>
        <w:tabs>
          <w:tab w:val="left" w:pos="720" w:leader="none"/>
        </w:tabs>
        <w:suppressAutoHyphens w:val="true"/>
        <w:spacing w:before="0" w:after="12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lipsa oric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ărei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îndoieli cu privire la independen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ţa, imparţialitatea, probitatea și integritatea candidatului.</w:t>
      </w:r>
    </w:p>
    <w:p>
      <w:pPr>
        <w:suppressAutoHyphens w:val="true"/>
        <w:spacing w:before="0" w:after="12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6  </w:t>
      </w:r>
    </w:p>
    <w:p>
      <w:pPr>
        <w:numPr>
          <w:ilvl w:val="0"/>
          <w:numId w:val="19"/>
        </w:numPr>
        <w:tabs>
          <w:tab w:val="left" w:pos="42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 finalizarea audierilor, Comisia selecteaz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candidatul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âniei pentru ocuparea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ţiei de judecător al Tribunalului Uniunii Europene, precum şi două propuneri de rezervă, cu votul majorităţii simple a membrilor Comisiei.</w:t>
      </w:r>
    </w:p>
    <w:p>
      <w:pPr>
        <w:numPr>
          <w:ilvl w:val="0"/>
          <w:numId w:val="19"/>
        </w:numPr>
        <w:tabs>
          <w:tab w:val="left" w:pos="42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Rezultatele procedurii de selec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ţie sunt publicate pe site-urile Ministerului Justiţiei, Ministerului Afacerilor Externe, Consiliului Superior al Magistraturii,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Înaltei Cur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 de Casaţie şi Justiţie şi Uniunii Naţionale a Barourilor din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ânia.</w:t>
      </w:r>
    </w:p>
    <w:p>
      <w:pPr>
        <w:tabs>
          <w:tab w:val="left" w:pos="42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(3)  Propunerile finale, înso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țite de dosarele de candidatură ale persoanelor aflate pe lista scurtă, sunt comunicate Guvernului, spre aprobare.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7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(1) În cazul în care exist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motive temeinice, Guvernul poate respinge, motivat, propunerea Comisiei și poate alege dintre cele două propuneri de rezervă.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(2) În cazul în care Guvernul respinge, motivat, cele trei propuneri prezentate, se reia procedura de selec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ţie, prevederile art. 1 - 6 aplic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ându-se corespunz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ător.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8  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termen de 3 zile lucr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ătoare de la aprobarea de către Guvern a candidatului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âniei pentru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ţia de judecător al Tribunalului Uniunii Europene, Guvernul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înainteaz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propunerea sa Consiliului UE, prin intermediul Reprezentanţei Permanente a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âniei pe lâng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UE.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Art. 9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În conformitate cu articolul 19, alin. (1) din Legea nr. 373/2013 privind cooperarea între Parlament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şi Guvern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în domeniul afacerilor europene, Guvernul informeaz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ă Parlamentul cu privire la propunerea adoptată.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10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cazul în care avizul Comitetului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ăzut de articolul 255 din Tratatul privind funcţionarea Uniunii Europene cu privire la candidatul propus de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ânia este negativ, Guvernul transmite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ătre Secretariatul General al Consiliului, prin intermediul Reprezentanţei Permanente a 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âniei pe lâng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UE, candidatura din lista de rezervă,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ordinea de prioritate votat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de Comisia de selecţie.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cazul în care, pentru toate propunerile formulate, avizul Comitetului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ăzut de articolul 255 din Tratatul privind funcţionarea Uniunii Europene este negativ, se reia procedura de selecţie, prevederile art. 1 - 9 răm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ânând aplicabile în mod corespunz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ător. </w:t>
      </w: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electie.tue@just.ro" Id="docRId0" Type="http://schemas.openxmlformats.org/officeDocument/2006/relationships/hyperlink" /><Relationship TargetMode="External" Target="javascript:OpenDocumentView(187523,%203421315);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